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49C2" w:rsidRDefault="00A849C2" w:rsidP="00A849C2">
      <w:pPr>
        <w:widowControl w:val="0"/>
        <w:spacing w:before="120" w:line="240" w:lineRule="auto"/>
        <w:ind w:firstLine="709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bCs/>
          <w:szCs w:val="20"/>
          <w:lang w:val="nb-NO"/>
        </w:rPr>
        <w:t>3</w:t>
      </w:r>
      <w:r w:rsidRPr="00264F33">
        <w:rPr>
          <w:rFonts w:eastAsia="Times New Roman"/>
          <w:b/>
          <w:bCs/>
          <w:szCs w:val="20"/>
          <w:lang w:val="nb-NO"/>
        </w:rPr>
        <w:t xml:space="preserve">. </w:t>
      </w:r>
      <w:r w:rsidRPr="00371206">
        <w:rPr>
          <w:rFonts w:eastAsia="Times New Roman"/>
          <w:b/>
          <w:color w:val="000000"/>
          <w:szCs w:val="28"/>
        </w:rPr>
        <w:t>Thủ tục thông báo tổ chức lễ hội cấp xã</w:t>
      </w:r>
    </w:p>
    <w:p w:rsidR="00A849C2" w:rsidRDefault="00A849C2" w:rsidP="00A849C2">
      <w:pPr>
        <w:spacing w:before="120" w:line="240" w:lineRule="auto"/>
        <w:ind w:left="720"/>
        <w:contextualSpacing/>
        <w:rPr>
          <w:rFonts w:eastAsia="Times New Roman"/>
          <w:b/>
          <w:i/>
          <w:szCs w:val="28"/>
          <w:lang w:val="en"/>
        </w:rPr>
      </w:pPr>
      <w:r>
        <w:rPr>
          <w:rFonts w:eastAsia="Times New Roman"/>
          <w:b/>
          <w:i/>
          <w:szCs w:val="28"/>
          <w:lang w:val="en"/>
        </w:rPr>
        <w:t>3.</w:t>
      </w:r>
      <w:r w:rsidRPr="00837D39">
        <w:rPr>
          <w:rFonts w:eastAsia="Times New Roman"/>
          <w:b/>
          <w:i/>
          <w:szCs w:val="28"/>
          <w:lang w:val="en"/>
        </w:rPr>
        <w:t>1. Trình tự thực hiện</w:t>
      </w:r>
    </w:p>
    <w:p w:rsidR="00A849C2" w:rsidRPr="00681448" w:rsidRDefault="00A849C2" w:rsidP="00A849C2">
      <w:pPr>
        <w:spacing w:before="120" w:line="240" w:lineRule="auto"/>
        <w:ind w:firstLine="709"/>
        <w:rPr>
          <w:rFonts w:eastAsia="Times New Roman"/>
          <w:szCs w:val="28"/>
          <w:lang w:val="nb-NO"/>
        </w:rPr>
      </w:pPr>
      <w:r>
        <w:rPr>
          <w:rFonts w:eastAsia="Times New Roman"/>
          <w:b/>
          <w:szCs w:val="28"/>
          <w:lang w:val="nb-NO"/>
        </w:rPr>
        <w:t xml:space="preserve">- </w:t>
      </w:r>
      <w:r w:rsidRPr="00681448">
        <w:rPr>
          <w:rFonts w:eastAsia="Times New Roman"/>
          <w:szCs w:val="28"/>
          <w:lang w:val="nb-NO"/>
        </w:rPr>
        <w:t xml:space="preserve">Đơn vị tổ chức lễ hội gửi văn bản thông báo xin tổ chức lễ hội trước ít nhất 15 ngày đến Ủy ban nhân dân cấp xã. </w:t>
      </w:r>
    </w:p>
    <w:p w:rsidR="00A849C2" w:rsidRPr="00681448" w:rsidRDefault="00A849C2" w:rsidP="00A849C2">
      <w:pPr>
        <w:spacing w:before="120" w:line="240" w:lineRule="auto"/>
        <w:ind w:firstLine="709"/>
        <w:rPr>
          <w:rFonts w:eastAsia="Times New Roman"/>
          <w:szCs w:val="28"/>
          <w:shd w:val="clear" w:color="auto" w:fill="FFFFFF"/>
          <w:lang w:val="nb-NO"/>
        </w:rPr>
      </w:pPr>
      <w:r>
        <w:rPr>
          <w:rFonts w:eastAsia="Times New Roman"/>
          <w:b/>
          <w:szCs w:val="28"/>
          <w:lang w:val="nb-NO"/>
        </w:rPr>
        <w:t>-</w:t>
      </w:r>
      <w:r w:rsidRPr="00681448">
        <w:rPr>
          <w:rFonts w:eastAsia="Times New Roman"/>
          <w:szCs w:val="28"/>
          <w:lang w:val="nb-NO"/>
        </w:rPr>
        <w:t xml:space="preserve"> Sau khi nhận văn bản thông bản của đơn vị tổ chức lễ hội </w:t>
      </w:r>
      <w:r w:rsidRPr="00681448">
        <w:rPr>
          <w:rFonts w:eastAsia="Times New Roman"/>
          <w:szCs w:val="28"/>
          <w:shd w:val="clear" w:color="auto" w:fill="FFFFFF"/>
          <w:lang w:val="nb-NO"/>
        </w:rPr>
        <w:t>Ủy ban nhân dân xã tiếp nhận hồ sơ xin tổ chức lễ hội.</w:t>
      </w:r>
    </w:p>
    <w:p w:rsidR="00A849C2" w:rsidRPr="00837D39" w:rsidRDefault="00A849C2" w:rsidP="00A849C2">
      <w:pPr>
        <w:spacing w:before="120" w:line="240" w:lineRule="auto"/>
        <w:ind w:left="720"/>
        <w:contextualSpacing/>
        <w:rPr>
          <w:rFonts w:eastAsia="Times New Roman"/>
          <w:b/>
          <w:i/>
          <w:szCs w:val="28"/>
          <w:lang w:val="en"/>
        </w:rPr>
      </w:pPr>
      <w:r>
        <w:rPr>
          <w:rFonts w:eastAsia="Times New Roman"/>
          <w:b/>
          <w:szCs w:val="28"/>
          <w:shd w:val="clear" w:color="auto" w:fill="FFFFFF"/>
          <w:lang w:val="nb-NO"/>
        </w:rPr>
        <w:t>-</w:t>
      </w:r>
      <w:r w:rsidRPr="00681448">
        <w:rPr>
          <w:rFonts w:eastAsia="Times New Roman"/>
          <w:szCs w:val="28"/>
          <w:shd w:val="clear" w:color="auto" w:fill="FFFFFF"/>
          <w:lang w:val="nb-NO"/>
        </w:rPr>
        <w:t xml:space="preserve"> Trong thời hạn </w:t>
      </w:r>
      <w:r w:rsidRPr="00681448">
        <w:rPr>
          <w:rFonts w:eastAsia="Times New Roman"/>
          <w:color w:val="000000"/>
          <w:szCs w:val="28"/>
          <w:lang w:val="vi-VN"/>
        </w:rPr>
        <w:t>15 ngày, kể từ ngày Ủy ban nhân dân cấp xã nhận được văn bản thông báo, nếu không có ý kiến trả lời thì đơn vị gửi thông báo được tổ chức lễ hội theo nội dung đã thông báo. Trường hợp không đồng ý với nội dung thông báo, cơ quan tiếp nhận phải trả lời bằng văn bản và nêu rõ lý do.</w:t>
      </w:r>
    </w:p>
    <w:p w:rsidR="00A849C2" w:rsidRDefault="00A849C2" w:rsidP="00A849C2">
      <w:pPr>
        <w:spacing w:before="120" w:line="240" w:lineRule="auto"/>
        <w:ind w:left="720"/>
        <w:contextualSpacing/>
        <w:jc w:val="left"/>
        <w:rPr>
          <w:rFonts w:eastAsia="Times New Roman"/>
          <w:b/>
          <w:i/>
          <w:color w:val="000000"/>
          <w:spacing w:val="-6"/>
          <w:szCs w:val="28"/>
          <w:lang w:val="en"/>
        </w:rPr>
      </w:pPr>
      <w:r>
        <w:rPr>
          <w:rFonts w:eastAsia="Times New Roman"/>
          <w:b/>
          <w:i/>
          <w:color w:val="000000"/>
          <w:spacing w:val="-6"/>
          <w:szCs w:val="28"/>
          <w:lang w:val="en"/>
        </w:rPr>
        <w:t>3</w:t>
      </w:r>
      <w:r w:rsidRPr="00837D39">
        <w:rPr>
          <w:rFonts w:eastAsia="Times New Roman"/>
          <w:b/>
          <w:i/>
          <w:color w:val="000000"/>
          <w:spacing w:val="-6"/>
          <w:szCs w:val="28"/>
          <w:lang w:val="en"/>
        </w:rPr>
        <w:t>.2.Cách thức thực hiện</w:t>
      </w:r>
    </w:p>
    <w:p w:rsidR="00A849C2" w:rsidRPr="00837D39" w:rsidRDefault="00A849C2" w:rsidP="00A849C2">
      <w:pPr>
        <w:spacing w:before="120" w:line="240" w:lineRule="auto"/>
        <w:ind w:left="720"/>
        <w:contextualSpacing/>
        <w:jc w:val="left"/>
        <w:rPr>
          <w:rFonts w:eastAsia="Times New Roman"/>
          <w:b/>
          <w:i/>
          <w:color w:val="000000"/>
          <w:spacing w:val="-6"/>
          <w:szCs w:val="28"/>
          <w:lang w:val="en"/>
        </w:rPr>
      </w:pPr>
      <w:r w:rsidRPr="00FE6C2E">
        <w:rPr>
          <w:rFonts w:eastAsia="Times New Roman"/>
          <w:szCs w:val="28"/>
          <w:shd w:val="clear" w:color="auto" w:fill="FFFFFF"/>
          <w:lang w:val="nb-NO"/>
        </w:rPr>
        <w:t>Nộp hồ sơ tại Ủy ban nhân dân cấp xã</w:t>
      </w:r>
    </w:p>
    <w:p w:rsidR="00A849C2" w:rsidRDefault="00A849C2" w:rsidP="00A849C2">
      <w:pPr>
        <w:spacing w:before="120" w:line="240" w:lineRule="auto"/>
        <w:ind w:left="720"/>
        <w:contextualSpacing/>
        <w:rPr>
          <w:rFonts w:eastAsia="Times New Roman"/>
          <w:b/>
          <w:i/>
          <w:color w:val="000000"/>
          <w:spacing w:val="-6"/>
          <w:szCs w:val="28"/>
          <w:lang w:val="en"/>
        </w:rPr>
      </w:pPr>
      <w:r>
        <w:rPr>
          <w:rFonts w:eastAsia="Times New Roman"/>
          <w:b/>
          <w:i/>
          <w:color w:val="000000"/>
          <w:spacing w:val="-6"/>
          <w:szCs w:val="28"/>
          <w:lang w:val="en"/>
        </w:rPr>
        <w:t>3</w:t>
      </w:r>
      <w:r w:rsidRPr="00837D39">
        <w:rPr>
          <w:rFonts w:eastAsia="Times New Roman"/>
          <w:b/>
          <w:i/>
          <w:color w:val="000000"/>
          <w:spacing w:val="-6"/>
          <w:szCs w:val="28"/>
          <w:lang w:val="en"/>
        </w:rPr>
        <w:t>.3. Thành phần, số lượng hồ sơ</w:t>
      </w:r>
    </w:p>
    <w:p w:rsidR="00A849C2" w:rsidRDefault="00A849C2" w:rsidP="00A849C2">
      <w:pPr>
        <w:spacing w:before="120" w:line="240" w:lineRule="auto"/>
        <w:ind w:left="720"/>
        <w:contextualSpacing/>
        <w:rPr>
          <w:rFonts w:eastAsia="Times New Roman"/>
          <w:b/>
          <w:i/>
          <w:color w:val="000000"/>
          <w:spacing w:val="-6"/>
          <w:szCs w:val="28"/>
          <w:lang w:val="en"/>
        </w:rPr>
      </w:pPr>
      <w:r>
        <w:rPr>
          <w:rFonts w:eastAsia="Times New Roman"/>
          <w:b/>
          <w:i/>
          <w:color w:val="000000"/>
          <w:spacing w:val="-6"/>
          <w:szCs w:val="28"/>
          <w:lang w:val="en"/>
        </w:rPr>
        <w:t>Thành phần hồ sơ:</w:t>
      </w:r>
    </w:p>
    <w:p w:rsidR="00A849C2" w:rsidRDefault="00A849C2" w:rsidP="00A849C2">
      <w:pPr>
        <w:spacing w:before="120" w:line="240" w:lineRule="auto"/>
        <w:ind w:left="720"/>
        <w:contextualSpacing/>
        <w:rPr>
          <w:rFonts w:eastAsia="Times New Roman"/>
          <w:szCs w:val="28"/>
          <w:lang w:val="nb-NO"/>
        </w:rPr>
      </w:pPr>
      <w:r>
        <w:rPr>
          <w:rFonts w:eastAsia="Times New Roman"/>
          <w:szCs w:val="28"/>
          <w:lang w:val="nb-NO"/>
        </w:rPr>
        <w:t>Văn bản thông báo</w:t>
      </w:r>
      <w:r w:rsidRPr="00FE6C2E">
        <w:rPr>
          <w:rFonts w:eastAsia="Times New Roman"/>
          <w:szCs w:val="28"/>
          <w:lang w:val="nb-NO"/>
        </w:rPr>
        <w:t xml:space="preserve"> </w:t>
      </w:r>
      <w:r>
        <w:rPr>
          <w:rFonts w:eastAsia="Times New Roman"/>
          <w:szCs w:val="28"/>
          <w:lang w:val="nb-NO"/>
        </w:rPr>
        <w:t>xin tổ chức lễ hội</w:t>
      </w:r>
      <w:r w:rsidRPr="00FE6C2E">
        <w:rPr>
          <w:rFonts w:eastAsia="Times New Roman"/>
          <w:szCs w:val="28"/>
          <w:lang w:val="nb-NO"/>
        </w:rPr>
        <w:t xml:space="preserve"> </w:t>
      </w:r>
      <w:r>
        <w:rPr>
          <w:rFonts w:eastAsia="Times New Roman"/>
          <w:szCs w:val="28"/>
          <w:lang w:val="nb-NO"/>
        </w:rPr>
        <w:t>văn bản thông báo</w:t>
      </w:r>
      <w:r w:rsidRPr="00FE6C2E">
        <w:rPr>
          <w:rFonts w:eastAsia="Times New Roman"/>
          <w:szCs w:val="28"/>
          <w:lang w:val="nb-NO"/>
        </w:rPr>
        <w:t xml:space="preserve"> </w:t>
      </w:r>
      <w:r>
        <w:rPr>
          <w:rFonts w:eastAsia="Times New Roman"/>
          <w:szCs w:val="28"/>
          <w:lang w:val="nb-NO"/>
        </w:rPr>
        <w:t>xin tổ chức lễ hội</w:t>
      </w:r>
      <w:r w:rsidRPr="00FE6C2E">
        <w:rPr>
          <w:rFonts w:eastAsia="Times New Roman"/>
          <w:szCs w:val="28"/>
          <w:lang w:val="nb-NO"/>
        </w:rPr>
        <w:t xml:space="preserve"> </w:t>
      </w:r>
      <w:r>
        <w:rPr>
          <w:rFonts w:eastAsia="Times New Roman"/>
          <w:szCs w:val="28"/>
          <w:lang w:val="nb-NO"/>
        </w:rPr>
        <w:t>ăn bản thông báo</w:t>
      </w:r>
      <w:r w:rsidRPr="00FE6C2E">
        <w:rPr>
          <w:rFonts w:eastAsia="Times New Roman"/>
          <w:szCs w:val="28"/>
          <w:lang w:val="nb-NO"/>
        </w:rPr>
        <w:t xml:space="preserve"> </w:t>
      </w:r>
      <w:r>
        <w:rPr>
          <w:rFonts w:eastAsia="Times New Roman"/>
          <w:szCs w:val="28"/>
          <w:lang w:val="nb-NO"/>
        </w:rPr>
        <w:t>xin tổ chức lễ hội.</w:t>
      </w:r>
    </w:p>
    <w:p w:rsidR="00A849C2" w:rsidRPr="007D48AE" w:rsidRDefault="00A849C2" w:rsidP="00A849C2">
      <w:pPr>
        <w:spacing w:before="120" w:line="240" w:lineRule="auto"/>
        <w:ind w:left="720"/>
        <w:contextualSpacing/>
        <w:rPr>
          <w:rFonts w:eastAsia="Times New Roman"/>
          <w:b/>
          <w:i/>
          <w:color w:val="000000"/>
          <w:spacing w:val="-6"/>
          <w:szCs w:val="28"/>
          <w:lang w:val="en"/>
        </w:rPr>
      </w:pPr>
      <w:r w:rsidRPr="007D48AE">
        <w:rPr>
          <w:rFonts w:eastAsia="Times New Roman"/>
          <w:b/>
          <w:szCs w:val="28"/>
          <w:lang w:val="nb-NO"/>
        </w:rPr>
        <w:t>Số lượng hồ sơ: 01 bộ.</w:t>
      </w:r>
    </w:p>
    <w:p w:rsidR="00A849C2" w:rsidRDefault="00A849C2" w:rsidP="00A849C2">
      <w:pPr>
        <w:spacing w:before="120" w:line="240" w:lineRule="auto"/>
        <w:ind w:left="720"/>
        <w:contextualSpacing/>
        <w:rPr>
          <w:rFonts w:eastAsia="Times New Roman"/>
          <w:b/>
          <w:i/>
          <w:spacing w:val="-6"/>
          <w:szCs w:val="28"/>
          <w:lang w:val="en"/>
        </w:rPr>
      </w:pPr>
      <w:r>
        <w:rPr>
          <w:rFonts w:eastAsia="Times New Roman"/>
          <w:b/>
          <w:i/>
          <w:spacing w:val="-6"/>
          <w:szCs w:val="28"/>
          <w:lang w:val="en"/>
        </w:rPr>
        <w:t>3</w:t>
      </w:r>
      <w:r w:rsidRPr="00837D39">
        <w:rPr>
          <w:rFonts w:eastAsia="Times New Roman"/>
          <w:b/>
          <w:i/>
          <w:spacing w:val="-6"/>
          <w:szCs w:val="28"/>
          <w:lang w:val="en"/>
        </w:rPr>
        <w:t>.4. Thời hạn giải quyết</w:t>
      </w:r>
    </w:p>
    <w:p w:rsidR="00A849C2" w:rsidRPr="00837D39" w:rsidRDefault="00A849C2" w:rsidP="00A849C2">
      <w:pPr>
        <w:spacing w:before="120" w:line="240" w:lineRule="auto"/>
        <w:ind w:left="720"/>
        <w:contextualSpacing/>
        <w:rPr>
          <w:rFonts w:eastAsia="Times New Roman"/>
          <w:b/>
          <w:i/>
          <w:spacing w:val="-6"/>
          <w:szCs w:val="28"/>
          <w:lang w:val="en"/>
        </w:rPr>
      </w:pPr>
      <w:r>
        <w:rPr>
          <w:rFonts w:eastAsia="Times New Roman"/>
          <w:szCs w:val="28"/>
          <w:lang w:val="nb-NO"/>
        </w:rPr>
        <w:t>15</w:t>
      </w:r>
      <w:r w:rsidRPr="00FE6C2E">
        <w:rPr>
          <w:rFonts w:eastAsia="Times New Roman"/>
          <w:szCs w:val="28"/>
          <w:lang w:val="nb-NO"/>
        </w:rPr>
        <w:t xml:space="preserve"> ngày làm việc kể từ ngày nhận đủ hồ sơ hợp lệ.</w:t>
      </w:r>
    </w:p>
    <w:p w:rsidR="00A849C2" w:rsidRDefault="00A849C2" w:rsidP="00A849C2">
      <w:pPr>
        <w:spacing w:before="120" w:line="240" w:lineRule="auto"/>
        <w:ind w:left="720"/>
        <w:contextualSpacing/>
        <w:rPr>
          <w:rFonts w:eastAsia="Times New Roman"/>
          <w:b/>
          <w:i/>
          <w:spacing w:val="-6"/>
          <w:szCs w:val="28"/>
          <w:lang w:val="en"/>
        </w:rPr>
      </w:pPr>
      <w:r>
        <w:rPr>
          <w:rFonts w:eastAsia="Times New Roman"/>
          <w:b/>
          <w:i/>
          <w:spacing w:val="-6"/>
          <w:szCs w:val="28"/>
          <w:lang w:val="en"/>
        </w:rPr>
        <w:t>3</w:t>
      </w:r>
      <w:r w:rsidRPr="00837D39">
        <w:rPr>
          <w:rFonts w:eastAsia="Times New Roman"/>
          <w:b/>
          <w:i/>
          <w:spacing w:val="-6"/>
          <w:szCs w:val="28"/>
          <w:lang w:val="en"/>
        </w:rPr>
        <w:t>.5. Đối tượng thủ tục hành chính</w:t>
      </w:r>
    </w:p>
    <w:p w:rsidR="00A849C2" w:rsidRPr="00837D39" w:rsidRDefault="00A849C2" w:rsidP="00A849C2">
      <w:pPr>
        <w:spacing w:before="120" w:line="240" w:lineRule="auto"/>
        <w:ind w:left="720"/>
        <w:contextualSpacing/>
        <w:rPr>
          <w:rFonts w:eastAsia="Times New Roman"/>
          <w:b/>
          <w:i/>
          <w:spacing w:val="-6"/>
          <w:szCs w:val="28"/>
          <w:lang w:val="en"/>
        </w:rPr>
      </w:pPr>
      <w:r w:rsidRPr="00FE6C2E">
        <w:rPr>
          <w:rFonts w:eastAsia="Times New Roman"/>
          <w:szCs w:val="28"/>
          <w:lang w:val="nb-NO"/>
        </w:rPr>
        <w:t>Tổ chức; cá nhân</w:t>
      </w:r>
    </w:p>
    <w:p w:rsidR="00A849C2" w:rsidRDefault="00A849C2" w:rsidP="00A849C2">
      <w:pPr>
        <w:spacing w:before="120" w:line="240" w:lineRule="auto"/>
        <w:ind w:left="720"/>
        <w:contextualSpacing/>
        <w:jc w:val="left"/>
        <w:rPr>
          <w:rFonts w:eastAsia="Times New Roman"/>
          <w:b/>
          <w:i/>
          <w:spacing w:val="-6"/>
          <w:szCs w:val="28"/>
          <w:lang w:val="en"/>
        </w:rPr>
      </w:pPr>
      <w:r>
        <w:rPr>
          <w:rFonts w:eastAsia="Times New Roman"/>
          <w:b/>
          <w:i/>
          <w:spacing w:val="-6"/>
          <w:szCs w:val="28"/>
          <w:lang w:val="en"/>
        </w:rPr>
        <w:t>3</w:t>
      </w:r>
      <w:r w:rsidRPr="00837D39">
        <w:rPr>
          <w:rFonts w:eastAsia="Times New Roman"/>
          <w:b/>
          <w:i/>
          <w:spacing w:val="-6"/>
          <w:szCs w:val="28"/>
          <w:lang w:val="en"/>
        </w:rPr>
        <w:t>.6. Cơ quan thực hiện thủ tục hành chính</w:t>
      </w:r>
    </w:p>
    <w:p w:rsidR="00A849C2" w:rsidRPr="002002F0" w:rsidRDefault="00A849C2" w:rsidP="00A849C2">
      <w:pPr>
        <w:autoSpaceDE w:val="0"/>
        <w:autoSpaceDN w:val="0"/>
        <w:adjustRightInd w:val="0"/>
        <w:spacing w:before="120" w:line="240" w:lineRule="auto"/>
        <w:ind w:firstLine="709"/>
        <w:rPr>
          <w:rFonts w:eastAsia="Times New Roman"/>
          <w:szCs w:val="28"/>
          <w:shd w:val="clear" w:color="auto" w:fill="FFFFFF"/>
          <w:lang w:val="nb-NO"/>
        </w:rPr>
      </w:pPr>
      <w:r>
        <w:rPr>
          <w:rFonts w:eastAsia="Times New Roman"/>
          <w:szCs w:val="28"/>
          <w:shd w:val="clear" w:color="auto" w:fill="FFFFFF"/>
          <w:lang w:val="nb-NO"/>
        </w:rPr>
        <w:t>Cơ quan có thẩm quyền</w:t>
      </w:r>
      <w:r w:rsidRPr="00FE6C2E">
        <w:rPr>
          <w:rFonts w:eastAsia="Times New Roman"/>
          <w:szCs w:val="28"/>
          <w:shd w:val="clear" w:color="auto" w:fill="FFFFFF"/>
          <w:lang w:val="nb-NO"/>
        </w:rPr>
        <w:t>: Uỷ ban nhân dân cấp xã.</w:t>
      </w:r>
    </w:p>
    <w:p w:rsidR="00A849C2" w:rsidRDefault="00A849C2" w:rsidP="00A849C2">
      <w:pPr>
        <w:spacing w:before="120" w:line="240" w:lineRule="auto"/>
        <w:ind w:left="720"/>
        <w:contextualSpacing/>
        <w:jc w:val="left"/>
        <w:rPr>
          <w:rFonts w:eastAsia="Times New Roman"/>
          <w:b/>
          <w:i/>
          <w:spacing w:val="-6"/>
          <w:szCs w:val="28"/>
          <w:lang w:val="en"/>
        </w:rPr>
      </w:pPr>
      <w:r>
        <w:rPr>
          <w:rFonts w:eastAsia="Times New Roman"/>
          <w:b/>
          <w:i/>
          <w:spacing w:val="-6"/>
          <w:szCs w:val="28"/>
          <w:lang w:val="en"/>
        </w:rPr>
        <w:t>3.</w:t>
      </w:r>
      <w:r w:rsidRPr="00837D39">
        <w:rPr>
          <w:rFonts w:eastAsia="Times New Roman"/>
          <w:b/>
          <w:i/>
          <w:spacing w:val="-6"/>
          <w:szCs w:val="28"/>
          <w:lang w:val="en"/>
        </w:rPr>
        <w:t>7. Kết quả thực hiện thủ tục hành chính</w:t>
      </w:r>
    </w:p>
    <w:p w:rsidR="00A849C2" w:rsidRPr="00837D39" w:rsidRDefault="00A849C2" w:rsidP="00A849C2">
      <w:pPr>
        <w:spacing w:before="120" w:line="240" w:lineRule="auto"/>
        <w:ind w:left="720"/>
        <w:contextualSpacing/>
        <w:jc w:val="left"/>
        <w:rPr>
          <w:rFonts w:eastAsia="Times New Roman"/>
          <w:b/>
          <w:i/>
          <w:spacing w:val="-6"/>
          <w:szCs w:val="28"/>
          <w:lang w:val="en"/>
        </w:rPr>
      </w:pPr>
      <w:r>
        <w:rPr>
          <w:rFonts w:eastAsia="Times New Roman"/>
          <w:szCs w:val="28"/>
          <w:shd w:val="clear" w:color="auto" w:fill="FFFFFF"/>
          <w:lang w:val="nb-NO"/>
        </w:rPr>
        <w:t>Văn bản trả lời</w:t>
      </w:r>
    </w:p>
    <w:p w:rsidR="00A849C2" w:rsidRDefault="00A849C2" w:rsidP="00A849C2">
      <w:pPr>
        <w:spacing w:before="120" w:line="240" w:lineRule="auto"/>
        <w:ind w:left="720"/>
        <w:contextualSpacing/>
        <w:jc w:val="left"/>
        <w:rPr>
          <w:rFonts w:eastAsia="Times New Roman"/>
          <w:b/>
          <w:i/>
          <w:spacing w:val="-6"/>
          <w:szCs w:val="28"/>
          <w:lang w:val="en"/>
        </w:rPr>
      </w:pPr>
      <w:r>
        <w:rPr>
          <w:rFonts w:eastAsia="Times New Roman"/>
          <w:b/>
          <w:i/>
          <w:spacing w:val="-6"/>
          <w:szCs w:val="28"/>
          <w:lang w:val="en"/>
        </w:rPr>
        <w:t>3</w:t>
      </w:r>
      <w:r w:rsidRPr="00837D39">
        <w:rPr>
          <w:rFonts w:eastAsia="Times New Roman"/>
          <w:b/>
          <w:i/>
          <w:spacing w:val="-6"/>
          <w:szCs w:val="28"/>
          <w:lang w:val="en"/>
        </w:rPr>
        <w:t>.8. Lệ phí</w:t>
      </w:r>
    </w:p>
    <w:p w:rsidR="00A849C2" w:rsidRPr="00837D39" w:rsidRDefault="00A849C2" w:rsidP="00A849C2">
      <w:pPr>
        <w:spacing w:before="120" w:line="240" w:lineRule="auto"/>
        <w:ind w:left="720"/>
        <w:contextualSpacing/>
        <w:jc w:val="left"/>
        <w:rPr>
          <w:rFonts w:eastAsia="Times New Roman"/>
          <w:b/>
          <w:i/>
          <w:spacing w:val="-6"/>
          <w:szCs w:val="28"/>
          <w:lang w:val="en"/>
        </w:rPr>
      </w:pPr>
      <w:r>
        <w:rPr>
          <w:rFonts w:eastAsia="Times New Roman"/>
          <w:b/>
          <w:i/>
          <w:spacing w:val="-6"/>
          <w:szCs w:val="28"/>
          <w:lang w:val="en"/>
        </w:rPr>
        <w:t>Không</w:t>
      </w:r>
    </w:p>
    <w:p w:rsidR="00A849C2" w:rsidRDefault="00A849C2" w:rsidP="00A849C2">
      <w:pPr>
        <w:spacing w:before="120" w:line="240" w:lineRule="auto"/>
        <w:ind w:left="720"/>
        <w:contextualSpacing/>
        <w:jc w:val="left"/>
        <w:rPr>
          <w:rFonts w:eastAsia="Times New Roman"/>
          <w:b/>
          <w:i/>
          <w:spacing w:val="-6"/>
          <w:szCs w:val="28"/>
          <w:lang w:val="en"/>
        </w:rPr>
      </w:pPr>
      <w:r>
        <w:rPr>
          <w:rFonts w:eastAsia="Times New Roman"/>
          <w:b/>
          <w:i/>
          <w:spacing w:val="-6"/>
          <w:szCs w:val="28"/>
          <w:lang w:val="en"/>
        </w:rPr>
        <w:t>3</w:t>
      </w:r>
      <w:r w:rsidRPr="00837D39">
        <w:rPr>
          <w:rFonts w:eastAsia="Times New Roman"/>
          <w:b/>
          <w:i/>
          <w:spacing w:val="-6"/>
          <w:szCs w:val="28"/>
          <w:lang w:val="en"/>
        </w:rPr>
        <w:t>.9. Tên mẫu đơn, mẫu tờ khai</w:t>
      </w:r>
    </w:p>
    <w:p w:rsidR="00A849C2" w:rsidRPr="00837D39" w:rsidRDefault="00A849C2" w:rsidP="00A849C2">
      <w:pPr>
        <w:spacing w:before="120" w:line="240" w:lineRule="auto"/>
        <w:ind w:left="720"/>
        <w:contextualSpacing/>
        <w:jc w:val="left"/>
        <w:rPr>
          <w:rFonts w:eastAsia="Times New Roman"/>
          <w:b/>
          <w:i/>
          <w:spacing w:val="-6"/>
          <w:szCs w:val="28"/>
          <w:lang w:val="en"/>
        </w:rPr>
      </w:pPr>
      <w:r>
        <w:rPr>
          <w:rFonts w:eastAsia="Times New Roman"/>
          <w:b/>
          <w:i/>
          <w:spacing w:val="-6"/>
          <w:szCs w:val="28"/>
          <w:lang w:val="en"/>
        </w:rPr>
        <w:t>Không</w:t>
      </w:r>
    </w:p>
    <w:p w:rsidR="00A849C2" w:rsidRDefault="00A849C2" w:rsidP="00A849C2">
      <w:pPr>
        <w:spacing w:before="120" w:line="240" w:lineRule="auto"/>
        <w:ind w:left="720"/>
        <w:contextualSpacing/>
        <w:jc w:val="left"/>
        <w:rPr>
          <w:rFonts w:eastAsia="Times New Roman"/>
          <w:b/>
          <w:i/>
          <w:spacing w:val="-6"/>
          <w:szCs w:val="28"/>
          <w:lang w:val="en"/>
        </w:rPr>
      </w:pPr>
      <w:r>
        <w:rPr>
          <w:rFonts w:eastAsia="Times New Roman"/>
          <w:b/>
          <w:i/>
          <w:spacing w:val="-6"/>
          <w:szCs w:val="28"/>
          <w:lang w:val="en"/>
        </w:rPr>
        <w:t>3</w:t>
      </w:r>
      <w:r w:rsidRPr="00837D39">
        <w:rPr>
          <w:rFonts w:eastAsia="Times New Roman"/>
          <w:b/>
          <w:i/>
          <w:spacing w:val="-6"/>
          <w:szCs w:val="28"/>
          <w:lang w:val="en"/>
        </w:rPr>
        <w:t>.10. Yêu cầu, điều kiện thực hiện thủ tục hành chính</w:t>
      </w:r>
    </w:p>
    <w:p w:rsidR="00A849C2" w:rsidRPr="00837D39" w:rsidRDefault="00A849C2" w:rsidP="00A849C2">
      <w:pPr>
        <w:spacing w:before="120" w:line="240" w:lineRule="auto"/>
        <w:ind w:left="720"/>
        <w:contextualSpacing/>
        <w:jc w:val="left"/>
        <w:rPr>
          <w:rFonts w:eastAsia="Times New Roman"/>
          <w:b/>
          <w:i/>
          <w:spacing w:val="-6"/>
          <w:szCs w:val="28"/>
          <w:lang w:val="en"/>
        </w:rPr>
      </w:pPr>
      <w:r>
        <w:rPr>
          <w:rFonts w:eastAsia="Times New Roman"/>
          <w:b/>
          <w:i/>
          <w:spacing w:val="-6"/>
          <w:szCs w:val="28"/>
          <w:lang w:val="en"/>
        </w:rPr>
        <w:t>Không</w:t>
      </w:r>
    </w:p>
    <w:p w:rsidR="00A849C2" w:rsidRPr="00837D39" w:rsidRDefault="00A849C2" w:rsidP="00A849C2">
      <w:pPr>
        <w:spacing w:before="120" w:line="240" w:lineRule="auto"/>
        <w:ind w:left="720"/>
        <w:contextualSpacing/>
        <w:rPr>
          <w:rFonts w:eastAsia="Times New Roman"/>
          <w:b/>
          <w:i/>
          <w:spacing w:val="-6"/>
          <w:szCs w:val="28"/>
          <w:lang w:val="en"/>
        </w:rPr>
      </w:pPr>
      <w:r>
        <w:rPr>
          <w:rFonts w:eastAsia="Times New Roman"/>
          <w:b/>
          <w:i/>
          <w:szCs w:val="28"/>
        </w:rPr>
        <w:t>3</w:t>
      </w:r>
      <w:r w:rsidRPr="00837D39">
        <w:rPr>
          <w:rFonts w:eastAsia="Times New Roman"/>
          <w:b/>
          <w:i/>
          <w:szCs w:val="28"/>
        </w:rPr>
        <w:t>.11. Căn cứ pháp lý của thủ tục hành chính</w:t>
      </w:r>
    </w:p>
    <w:p w:rsidR="00A849C2" w:rsidRPr="00837D39" w:rsidRDefault="00A849C2" w:rsidP="00A849C2">
      <w:pPr>
        <w:spacing w:before="120" w:line="240" w:lineRule="auto"/>
        <w:ind w:firstLine="709"/>
        <w:rPr>
          <w:b/>
          <w:szCs w:val="28"/>
        </w:rPr>
      </w:pPr>
      <w:r w:rsidRPr="00371206">
        <w:rPr>
          <w:rFonts w:eastAsia="Times New Roman"/>
          <w:color w:val="000000"/>
          <w:szCs w:val="28"/>
        </w:rPr>
        <w:t>Nghị định số 110/2018/NĐ-CP ngày 29/8/2019 của Chính phủ quy định về quản lý và tổ chức lễ hội. Có hiệu lực từ ngày 15/10/2018</w:t>
      </w:r>
    </w:p>
    <w:p w:rsidR="00A849C2" w:rsidRPr="00264F33" w:rsidRDefault="00A849C2" w:rsidP="00A849C2">
      <w:pPr>
        <w:widowControl w:val="0"/>
        <w:spacing w:before="120" w:line="240" w:lineRule="auto"/>
        <w:ind w:firstLine="709"/>
        <w:rPr>
          <w:rFonts w:eastAsia="Times New Roman"/>
          <w:b/>
          <w:bCs/>
          <w:szCs w:val="20"/>
          <w:lang w:val="nb-NO"/>
        </w:rPr>
      </w:pPr>
    </w:p>
    <w:p w:rsidR="00A849C2" w:rsidRDefault="00A849C2"/>
    <w:sectPr w:rsidR="00A84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C2"/>
    <w:rsid w:val="00A8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B8444-B64C-4549-A8FE-212AD455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9C2"/>
    <w:pPr>
      <w:spacing w:after="0" w:line="360" w:lineRule="auto"/>
      <w:jc w:val="both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2023-05-09T03:08:00Z</dcterms:created>
  <dcterms:modified xsi:type="dcterms:W3CDTF">2023-05-09T03:08:00Z</dcterms:modified>
</cp:coreProperties>
</file>